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196A" w14:textId="77777777" w:rsidR="00F966F9" w:rsidRPr="00C765A7" w:rsidRDefault="00F966F9" w:rsidP="00F966F9">
      <w:pPr>
        <w:pStyle w:val="Heading1"/>
        <w:spacing w:before="0" w:line="240" w:lineRule="auto"/>
        <w:rPr>
          <w:color w:val="0070C0"/>
          <w:sz w:val="24"/>
          <w:szCs w:val="24"/>
        </w:rPr>
      </w:pPr>
      <w:bookmarkStart w:id="0" w:name="_Toc162860490"/>
      <w:r>
        <w:rPr>
          <w:color w:val="0070C0"/>
          <w:sz w:val="24"/>
          <w:szCs w:val="24"/>
        </w:rPr>
        <w:t>K</w:t>
      </w:r>
      <w:r w:rsidRPr="00C765A7">
        <w:rPr>
          <w:color w:val="0070C0"/>
          <w:sz w:val="24"/>
          <w:szCs w:val="24"/>
        </w:rPr>
        <w:t xml:space="preserve">riisivalmiduse ja </w:t>
      </w:r>
      <w:proofErr w:type="spellStart"/>
      <w:r w:rsidRPr="00C765A7">
        <w:rPr>
          <w:color w:val="0070C0"/>
          <w:sz w:val="24"/>
          <w:szCs w:val="24"/>
        </w:rPr>
        <w:t>siseturvalisuse</w:t>
      </w:r>
      <w:proofErr w:type="spellEnd"/>
      <w:r w:rsidRPr="00C765A7">
        <w:rPr>
          <w:color w:val="0070C0"/>
          <w:sz w:val="24"/>
          <w:szCs w:val="24"/>
        </w:rPr>
        <w:t xml:space="preserve"> töörühma ettepanekud</w:t>
      </w:r>
      <w:bookmarkEnd w:id="0"/>
      <w:r w:rsidRPr="00C765A7">
        <w:rPr>
          <w:color w:val="0070C0"/>
          <w:sz w:val="24"/>
          <w:szCs w:val="24"/>
        </w:rPr>
        <w:t xml:space="preserve"> </w:t>
      </w:r>
    </w:p>
    <w:tbl>
      <w:tblPr>
        <w:tblStyle w:val="TableGrid"/>
        <w:tblW w:w="14880" w:type="dxa"/>
        <w:jc w:val="center"/>
        <w:tblLayout w:type="fixed"/>
        <w:tblLook w:val="04A0" w:firstRow="1" w:lastRow="0" w:firstColumn="1" w:lastColumn="0" w:noHBand="0" w:noVBand="1"/>
      </w:tblPr>
      <w:tblGrid>
        <w:gridCol w:w="421"/>
        <w:gridCol w:w="6804"/>
        <w:gridCol w:w="5103"/>
        <w:gridCol w:w="2552"/>
      </w:tblGrid>
      <w:tr w:rsidR="00F966F9" w:rsidRPr="00853691" w14:paraId="020EB8F0" w14:textId="77777777" w:rsidTr="009A0F7C">
        <w:trPr>
          <w:jc w:val="center"/>
        </w:trPr>
        <w:tc>
          <w:tcPr>
            <w:tcW w:w="421" w:type="dxa"/>
            <w:shd w:val="clear" w:color="auto" w:fill="E2EFD9" w:themeFill="accent6" w:themeFillTint="33"/>
            <w:vAlign w:val="center"/>
          </w:tcPr>
          <w:p w14:paraId="5CCDD290" w14:textId="77777777" w:rsidR="00F966F9" w:rsidRPr="00853691" w:rsidRDefault="00F966F9" w:rsidP="009A0F7C">
            <w:pPr>
              <w:ind w:right="23" w:hanging="40"/>
              <w:rPr>
                <w:rFonts w:ascii="Garamond" w:hAnsi="Garamond"/>
                <w:b/>
              </w:rPr>
            </w:pPr>
            <w:r w:rsidRPr="00853691">
              <w:rPr>
                <w:rFonts w:ascii="Garamond" w:hAnsi="Garamond"/>
                <w:b/>
              </w:rPr>
              <w:t>nr</w:t>
            </w:r>
          </w:p>
        </w:tc>
        <w:tc>
          <w:tcPr>
            <w:tcW w:w="6804" w:type="dxa"/>
            <w:shd w:val="clear" w:color="auto" w:fill="E2EFD9" w:themeFill="accent6" w:themeFillTint="33"/>
            <w:vAlign w:val="center"/>
          </w:tcPr>
          <w:p w14:paraId="5F13BCCC" w14:textId="77777777" w:rsidR="00F966F9" w:rsidRPr="00853691" w:rsidRDefault="00F966F9" w:rsidP="009A0F7C">
            <w:pPr>
              <w:ind w:right="23" w:hanging="40"/>
              <w:rPr>
                <w:rFonts w:ascii="Garamond" w:hAnsi="Garamond"/>
                <w:b/>
              </w:rPr>
            </w:pPr>
            <w:r w:rsidRPr="00853691">
              <w:rPr>
                <w:rFonts w:ascii="Garamond" w:hAnsi="Garamond"/>
                <w:b/>
              </w:rPr>
              <w:t xml:space="preserve">Eesti Linnade ja Valdade Liidu ettepanekud ja selgitused </w:t>
            </w:r>
          </w:p>
        </w:tc>
        <w:tc>
          <w:tcPr>
            <w:tcW w:w="5103" w:type="dxa"/>
            <w:shd w:val="clear" w:color="auto" w:fill="E2EFD9" w:themeFill="accent6" w:themeFillTint="33"/>
            <w:vAlign w:val="center"/>
          </w:tcPr>
          <w:p w14:paraId="133EB9D3" w14:textId="77777777" w:rsidR="00F966F9" w:rsidRPr="00853691" w:rsidRDefault="00F966F9" w:rsidP="009A0F7C">
            <w:pPr>
              <w:ind w:right="23" w:hanging="40"/>
              <w:rPr>
                <w:rFonts w:ascii="Garamond" w:hAnsi="Garamond"/>
                <w:b/>
              </w:rPr>
            </w:pPr>
            <w:r w:rsidRPr="00853691">
              <w:rPr>
                <w:rFonts w:ascii="Garamond" w:hAnsi="Garamond"/>
                <w:b/>
              </w:rPr>
              <w:t>Ministeeriumi seisukoht</w:t>
            </w:r>
          </w:p>
        </w:tc>
        <w:tc>
          <w:tcPr>
            <w:tcW w:w="2552" w:type="dxa"/>
            <w:shd w:val="clear" w:color="auto" w:fill="E2EFD9" w:themeFill="accent6" w:themeFillTint="33"/>
            <w:vAlign w:val="center"/>
          </w:tcPr>
          <w:p w14:paraId="686B93B7" w14:textId="77777777" w:rsidR="00F966F9" w:rsidRPr="00853691" w:rsidRDefault="00F966F9" w:rsidP="009A0F7C">
            <w:pPr>
              <w:ind w:right="23" w:hanging="40"/>
              <w:rPr>
                <w:rFonts w:ascii="Garamond" w:hAnsi="Garamond"/>
                <w:b/>
              </w:rPr>
            </w:pPr>
            <w:r w:rsidRPr="00853691">
              <w:rPr>
                <w:rFonts w:ascii="Garamond" w:hAnsi="Garamond"/>
                <w:b/>
              </w:rPr>
              <w:t>Töörühma kokkulepe, eriarvamused</w:t>
            </w:r>
          </w:p>
        </w:tc>
      </w:tr>
      <w:tr w:rsidR="00F966F9" w:rsidRPr="00853691" w14:paraId="7820494F" w14:textId="77777777" w:rsidTr="009A0F7C">
        <w:trPr>
          <w:jc w:val="center"/>
        </w:trPr>
        <w:tc>
          <w:tcPr>
            <w:tcW w:w="14880" w:type="dxa"/>
            <w:gridSpan w:val="4"/>
            <w:shd w:val="clear" w:color="auto" w:fill="auto"/>
            <w:vAlign w:val="center"/>
          </w:tcPr>
          <w:p w14:paraId="09D9806B" w14:textId="77777777" w:rsidR="00F966F9" w:rsidRPr="00853691" w:rsidRDefault="00F966F9" w:rsidP="009A0F7C">
            <w:pPr>
              <w:spacing w:after="120"/>
              <w:rPr>
                <w:rFonts w:ascii="Garamond" w:hAnsi="Garamond"/>
                <w:b/>
                <w:bCs/>
              </w:rPr>
            </w:pPr>
            <w:r>
              <w:rPr>
                <w:rFonts w:ascii="Garamond" w:hAnsi="Garamond"/>
                <w:b/>
                <w:bCs/>
              </w:rPr>
              <w:t>ELVL prioriteedid</w:t>
            </w:r>
          </w:p>
        </w:tc>
      </w:tr>
      <w:tr w:rsidR="00F966F9" w:rsidRPr="00853691" w14:paraId="6E0A8422" w14:textId="77777777" w:rsidTr="009A0F7C">
        <w:trPr>
          <w:jc w:val="center"/>
        </w:trPr>
        <w:tc>
          <w:tcPr>
            <w:tcW w:w="421" w:type="dxa"/>
            <w:shd w:val="clear" w:color="auto" w:fill="auto"/>
            <w:vAlign w:val="center"/>
          </w:tcPr>
          <w:p w14:paraId="09A954A1" w14:textId="77777777" w:rsidR="00F966F9" w:rsidRPr="00853691" w:rsidRDefault="00F966F9" w:rsidP="00F966F9">
            <w:pPr>
              <w:pStyle w:val="ListParagraph"/>
              <w:numPr>
                <w:ilvl w:val="0"/>
                <w:numId w:val="13"/>
              </w:numPr>
              <w:spacing w:after="120"/>
              <w:ind w:left="306" w:right="25" w:hanging="306"/>
              <w:contextualSpacing w:val="0"/>
              <w:rPr>
                <w:rFonts w:ascii="Garamond" w:hAnsi="Garamond"/>
                <w:b/>
              </w:rPr>
            </w:pPr>
          </w:p>
        </w:tc>
        <w:tc>
          <w:tcPr>
            <w:tcW w:w="6804" w:type="dxa"/>
            <w:shd w:val="clear" w:color="auto" w:fill="auto"/>
            <w:vAlign w:val="center"/>
          </w:tcPr>
          <w:p w14:paraId="40204F46" w14:textId="77777777" w:rsidR="00F966F9" w:rsidRPr="00853691" w:rsidRDefault="00F966F9" w:rsidP="009A0F7C">
            <w:pPr>
              <w:spacing w:after="120"/>
              <w:rPr>
                <w:rFonts w:ascii="Garamond" w:hAnsi="Garamond" w:cs="Times New Roman"/>
                <w:b/>
                <w:bCs/>
              </w:rPr>
            </w:pPr>
            <w:r w:rsidRPr="00853691">
              <w:rPr>
                <w:rFonts w:ascii="Garamond" w:hAnsi="Garamond" w:cs="Times New Roman"/>
                <w:b/>
                <w:bCs/>
              </w:rPr>
              <w:t>Vahendite eraldamine omavalitsustele kriisispetsialistide (kriisi- ja ennetustöö spetsialisti) ametikohtade tööjõukulude katteks.</w:t>
            </w:r>
          </w:p>
          <w:p w14:paraId="328DFF68" w14:textId="77777777" w:rsidR="00F966F9" w:rsidRPr="00853691" w:rsidRDefault="00F966F9" w:rsidP="009A0F7C">
            <w:pPr>
              <w:pStyle w:val="NoSpacing"/>
              <w:spacing w:after="120"/>
              <w:rPr>
                <w:rFonts w:ascii="Garamond" w:hAnsi="Garamond"/>
              </w:rPr>
            </w:pPr>
            <w:r w:rsidRPr="00853691">
              <w:rPr>
                <w:rFonts w:ascii="Garamond" w:hAnsi="Garamond"/>
              </w:rPr>
              <w:t xml:space="preserve">Võttes arvesse tsiviilkriisi ja riigikaitse seaduse eelnõu ning hädaolukorra seaduse ja teiste seaduste muutmise seaduse eelnõu, milles nähakse kohalikele omavalitsustele ette, lisaks osadele omavalitsustele juba hetkel kehtivatele ülesannetele, täiendavalt </w:t>
            </w:r>
            <w:proofErr w:type="spellStart"/>
            <w:r w:rsidRPr="00853691">
              <w:rPr>
                <w:rFonts w:ascii="Garamond" w:hAnsi="Garamond"/>
              </w:rPr>
              <w:t>KOVi</w:t>
            </w:r>
            <w:proofErr w:type="spellEnd"/>
            <w:r w:rsidRPr="00853691">
              <w:rPr>
                <w:rFonts w:ascii="Garamond" w:hAnsi="Garamond"/>
              </w:rPr>
              <w:t xml:space="preserve"> püsivad kriisiülesanded:</w:t>
            </w:r>
          </w:p>
          <w:p w14:paraId="0C8BFD7E" w14:textId="0AF8D0A2" w:rsidR="00F966F9" w:rsidRPr="00853691" w:rsidRDefault="00F966F9" w:rsidP="009A0F7C">
            <w:pPr>
              <w:pStyle w:val="NoSpacing"/>
              <w:spacing w:after="120"/>
              <w:rPr>
                <w:rFonts w:ascii="Garamond" w:hAnsi="Garamond"/>
              </w:rPr>
            </w:pPr>
            <w:r w:rsidRPr="00853691">
              <w:rPr>
                <w:rFonts w:ascii="Garamond" w:hAnsi="Garamond"/>
              </w:rPr>
              <w:t>1) kohaliku omavalitsuse üksuse territooriumil evakuatsioonikohtade määramine ja kasutusele võtmine, kohaliku omavalitsuse üksuse haldus</w:t>
            </w:r>
            <w:r>
              <w:rPr>
                <w:rFonts w:ascii="Garamond" w:hAnsi="Garamond"/>
              </w:rPr>
              <w:softHyphen/>
            </w:r>
            <w:r w:rsidRPr="00853691">
              <w:rPr>
                <w:rFonts w:ascii="Garamond" w:hAnsi="Garamond"/>
              </w:rPr>
              <w:t>territooriumil viibivate isikute ulatuslikule evakuatsioonile kaasaaitamine, teise kohaliku omavalitsuse üksuse territooriumilt evakueeritud isikute vastuvõtmisele kaasaaitamine ja evakueeritud isikutele evakuatsioonikohas vähemalt toidu ja joogivee võimaldamine;</w:t>
            </w:r>
          </w:p>
          <w:p w14:paraId="718893E7" w14:textId="77777777" w:rsidR="00F966F9" w:rsidRPr="00853691" w:rsidRDefault="00F966F9" w:rsidP="009A0F7C">
            <w:pPr>
              <w:pStyle w:val="NoSpacing"/>
              <w:spacing w:after="120"/>
              <w:rPr>
                <w:rFonts w:ascii="Garamond" w:hAnsi="Garamond"/>
              </w:rPr>
            </w:pPr>
            <w:r w:rsidRPr="00853691">
              <w:rPr>
                <w:rFonts w:ascii="Garamond" w:hAnsi="Garamond"/>
              </w:rPr>
              <w:t>2) koduteenuse korraldamine;</w:t>
            </w:r>
          </w:p>
          <w:p w14:paraId="1F9EE98D" w14:textId="77777777" w:rsidR="00F966F9" w:rsidRPr="00853691" w:rsidRDefault="00F966F9" w:rsidP="009A0F7C">
            <w:pPr>
              <w:pStyle w:val="NoSpacing"/>
              <w:spacing w:after="120"/>
              <w:rPr>
                <w:rFonts w:ascii="Garamond" w:hAnsi="Garamond"/>
              </w:rPr>
            </w:pPr>
            <w:r w:rsidRPr="00853691">
              <w:rPr>
                <w:rFonts w:ascii="Garamond" w:hAnsi="Garamond"/>
              </w:rPr>
              <w:t xml:space="preserve">3) väljaspool kodu </w:t>
            </w:r>
            <w:proofErr w:type="spellStart"/>
            <w:r w:rsidRPr="00853691">
              <w:rPr>
                <w:rFonts w:ascii="Garamond" w:hAnsi="Garamond"/>
              </w:rPr>
              <w:t>üldhooldusteenuse</w:t>
            </w:r>
            <w:proofErr w:type="spellEnd"/>
            <w:r w:rsidRPr="00853691">
              <w:rPr>
                <w:rFonts w:ascii="Garamond" w:hAnsi="Garamond"/>
              </w:rPr>
              <w:t xml:space="preserve"> korraldamine;</w:t>
            </w:r>
          </w:p>
          <w:p w14:paraId="2E72779A" w14:textId="77777777" w:rsidR="00F966F9" w:rsidRPr="00853691" w:rsidRDefault="00F966F9" w:rsidP="009A0F7C">
            <w:pPr>
              <w:pStyle w:val="NoSpacing"/>
              <w:spacing w:after="120"/>
              <w:rPr>
                <w:rFonts w:ascii="Garamond" w:hAnsi="Garamond"/>
              </w:rPr>
            </w:pPr>
            <w:r w:rsidRPr="00853691">
              <w:rPr>
                <w:rFonts w:ascii="Garamond" w:hAnsi="Garamond"/>
              </w:rPr>
              <w:t>4) asendushooldusteenuse korraldamine;</w:t>
            </w:r>
          </w:p>
          <w:p w14:paraId="78631D51" w14:textId="77777777" w:rsidR="00F966F9" w:rsidRPr="00853691" w:rsidRDefault="00F966F9" w:rsidP="009A0F7C">
            <w:pPr>
              <w:pStyle w:val="NoSpacing"/>
              <w:spacing w:after="120"/>
              <w:rPr>
                <w:rFonts w:ascii="Garamond" w:hAnsi="Garamond"/>
              </w:rPr>
            </w:pPr>
            <w:r w:rsidRPr="00853691">
              <w:rPr>
                <w:rFonts w:ascii="Garamond" w:hAnsi="Garamond"/>
              </w:rPr>
              <w:t>5) turvakoduteenuse korraldamine;</w:t>
            </w:r>
          </w:p>
          <w:p w14:paraId="0D68AC7B" w14:textId="77777777" w:rsidR="00F966F9" w:rsidRPr="00853691" w:rsidRDefault="00F966F9" w:rsidP="009A0F7C">
            <w:pPr>
              <w:pStyle w:val="NoSpacing"/>
              <w:spacing w:after="120"/>
              <w:rPr>
                <w:rFonts w:ascii="Garamond" w:hAnsi="Garamond"/>
              </w:rPr>
            </w:pPr>
            <w:r w:rsidRPr="00853691">
              <w:rPr>
                <w:rFonts w:ascii="Garamond" w:hAnsi="Garamond"/>
              </w:rPr>
              <w:t>6) vältimatu sotsiaalabi tagamine;</w:t>
            </w:r>
          </w:p>
          <w:p w14:paraId="03ADAE7F" w14:textId="77777777" w:rsidR="00F966F9" w:rsidRPr="00853691" w:rsidRDefault="00F966F9" w:rsidP="009A0F7C">
            <w:pPr>
              <w:pStyle w:val="NoSpacing"/>
              <w:spacing w:after="120"/>
              <w:rPr>
                <w:rFonts w:ascii="Garamond" w:hAnsi="Garamond"/>
              </w:rPr>
            </w:pPr>
            <w:r w:rsidRPr="00853691">
              <w:rPr>
                <w:rFonts w:ascii="Garamond" w:hAnsi="Garamond"/>
              </w:rPr>
              <w:t>7) toimetulekutoetuse maksmine;</w:t>
            </w:r>
          </w:p>
          <w:p w14:paraId="390C0060" w14:textId="77777777" w:rsidR="00F966F9" w:rsidRPr="00853691" w:rsidRDefault="00F966F9" w:rsidP="009A0F7C">
            <w:pPr>
              <w:pStyle w:val="NoSpacing"/>
              <w:spacing w:after="120"/>
              <w:rPr>
                <w:rFonts w:ascii="Garamond" w:hAnsi="Garamond"/>
              </w:rPr>
            </w:pPr>
            <w:r w:rsidRPr="00853691">
              <w:rPr>
                <w:rFonts w:ascii="Garamond" w:hAnsi="Garamond"/>
              </w:rPr>
              <w:t>8) lastehoiu, alus- ja põhihariduse kättesaadavuse tagamine;</w:t>
            </w:r>
          </w:p>
          <w:p w14:paraId="1C772C3B" w14:textId="77777777" w:rsidR="00F966F9" w:rsidRPr="00853691" w:rsidRDefault="00F966F9" w:rsidP="009A0F7C">
            <w:pPr>
              <w:pStyle w:val="NoSpacing"/>
              <w:spacing w:after="120"/>
              <w:rPr>
                <w:rFonts w:ascii="Garamond" w:hAnsi="Garamond"/>
              </w:rPr>
            </w:pPr>
            <w:r w:rsidRPr="00853691">
              <w:rPr>
                <w:rFonts w:ascii="Garamond" w:hAnsi="Garamond"/>
              </w:rPr>
              <w:t xml:space="preserve">9) oma territooriumil viibivate isikute kriisiolukorras teavitamise tagamine. </w:t>
            </w:r>
          </w:p>
          <w:p w14:paraId="22E8A69B" w14:textId="77777777" w:rsidR="00F966F9" w:rsidRPr="00853691" w:rsidRDefault="00F966F9" w:rsidP="009A0F7C">
            <w:pPr>
              <w:pStyle w:val="NoSpacing"/>
              <w:spacing w:after="120"/>
              <w:rPr>
                <w:rFonts w:ascii="Garamond" w:hAnsi="Garamond"/>
              </w:rPr>
            </w:pPr>
            <w:r w:rsidRPr="00853691">
              <w:rPr>
                <w:rFonts w:ascii="Garamond" w:hAnsi="Garamond"/>
              </w:rPr>
              <w:t xml:space="preserve">Kriisideks valmioleku korraldamine ja kriiside lahendamine, reageerimine on üks mitmest omavalitsuste põhiülesandest, mis toob kaasa hulgaliselt kaasnevaid ja ühekordseid, tavapärasest erineva lahenduskäiguga, ülesandeid. Lisaks otsestele personali kuludele lisandub </w:t>
            </w:r>
            <w:proofErr w:type="spellStart"/>
            <w:r w:rsidRPr="00853691">
              <w:rPr>
                <w:rFonts w:ascii="Garamond" w:hAnsi="Garamond"/>
              </w:rPr>
              <w:t>KOV-le</w:t>
            </w:r>
            <w:proofErr w:type="spellEnd"/>
            <w:r w:rsidRPr="00853691">
              <w:rPr>
                <w:rFonts w:ascii="Garamond" w:hAnsi="Garamond"/>
              </w:rPr>
              <w:t xml:space="preserve"> tulevatele püsivatele kriisiülesannetele nende täitmiseks palju erinevaid ülesandeid/tegevusi, mis omakorda tähendab kulusid: näiteks täiendava transpordi korraldamine, toidu/joogivee logistika, teavitamisega seotud kulud (infolehed vms), täiendava personali/vabatahtlike kaasamine jne</w:t>
            </w:r>
          </w:p>
          <w:p w14:paraId="524C539C" w14:textId="77777777" w:rsidR="00F966F9" w:rsidRPr="00853691" w:rsidRDefault="00F966F9" w:rsidP="009A0F7C">
            <w:pPr>
              <w:spacing w:after="120"/>
              <w:rPr>
                <w:rFonts w:ascii="Garamond" w:hAnsi="Garamond" w:cs="Times New Roman"/>
              </w:rPr>
            </w:pPr>
            <w:r w:rsidRPr="00853691">
              <w:rPr>
                <w:rFonts w:ascii="Garamond" w:hAnsi="Garamond" w:cs="Times New Roman"/>
              </w:rPr>
              <w:lastRenderedPageBreak/>
              <w:t>Nii tsiviilkriisi ja riigikaitse seaduse eelnõu kui ka hädaolukorra seaduse ja teiste seaduste muutmise seaduse eelnõu seletuskirjades tuuakse välja, et vastavad ametikohad tuleb luua igas omavalitsuses ning suuremates mitu kohta, mis toob omavalitsustele kaasa olulise kulu.</w:t>
            </w:r>
          </w:p>
          <w:p w14:paraId="55307691" w14:textId="77777777" w:rsidR="00F966F9" w:rsidRPr="00853691" w:rsidRDefault="00F966F9" w:rsidP="009A0F7C">
            <w:pPr>
              <w:spacing w:after="120"/>
              <w:rPr>
                <w:rFonts w:ascii="Garamond" w:hAnsi="Garamond" w:cs="Times New Roman"/>
              </w:rPr>
            </w:pPr>
            <w:r w:rsidRPr="00853691">
              <w:rPr>
                <w:rFonts w:ascii="Garamond" w:hAnsi="Garamond" w:cs="Times New Roman"/>
              </w:rPr>
              <w:t xml:space="preserve">Võttes aluseks hädaolukorra seaduse ja teiste seaduste muutmise seaduse eelnõu seletuskirjas toodud valitsusasutuste kulud aastatel 2024-20230, kus ühe lisanduva ametniku tööjõukuluks on arvestatud 4750.-eurot kuus ja arvestades, et iga KOV peab tööle võtma vähemalt ühe, Narva 3, Tartu 5 ja Tallinn 13 spetsialisti (kokku 97 spetsialisti), eraldada riigieelarvest kohalikele omavalitsustele </w:t>
            </w:r>
            <w:r w:rsidRPr="00853691">
              <w:rPr>
                <w:rFonts w:ascii="Garamond" w:hAnsi="Garamond" w:cs="Times New Roman"/>
                <w:b/>
                <w:bCs/>
              </w:rPr>
              <w:t>460 750 eurot aastas</w:t>
            </w:r>
            <w:r w:rsidRPr="00853691">
              <w:rPr>
                <w:rFonts w:ascii="Garamond" w:hAnsi="Garamond" w:cs="Times New Roman"/>
              </w:rPr>
              <w:t xml:space="preserve">. </w:t>
            </w:r>
          </w:p>
        </w:tc>
        <w:tc>
          <w:tcPr>
            <w:tcW w:w="5103" w:type="dxa"/>
            <w:shd w:val="clear" w:color="auto" w:fill="auto"/>
            <w:vAlign w:val="center"/>
          </w:tcPr>
          <w:p w14:paraId="3F416BEC" w14:textId="0F0E9B4A" w:rsidR="00F966F9" w:rsidRPr="00853691" w:rsidRDefault="00FA4760" w:rsidP="009A0F7C">
            <w:pPr>
              <w:spacing w:after="120"/>
              <w:rPr>
                <w:rFonts w:ascii="Garamond" w:hAnsi="Garamond"/>
                <w:b/>
                <w:bCs/>
              </w:rPr>
            </w:pPr>
            <w:r>
              <w:rPr>
                <w:rFonts w:ascii="Garamond" w:hAnsi="Garamond"/>
                <w:b/>
                <w:bCs/>
              </w:rPr>
              <w:lastRenderedPageBreak/>
              <w:t>Täpsustus. S</w:t>
            </w:r>
            <w:r w:rsidRPr="00FA4760">
              <w:rPr>
                <w:rFonts w:ascii="Garamond" w:hAnsi="Garamond"/>
                <w:b/>
                <w:bCs/>
              </w:rPr>
              <w:t xml:space="preserve">umma (460 tuhat) on ainult ühe kuu vajadus. Terve aasta vajadus on 12 korda suurem ehk 5,53 miljonit eurot. </w:t>
            </w:r>
          </w:p>
        </w:tc>
        <w:tc>
          <w:tcPr>
            <w:tcW w:w="2552" w:type="dxa"/>
            <w:shd w:val="clear" w:color="auto" w:fill="auto"/>
            <w:vAlign w:val="center"/>
          </w:tcPr>
          <w:p w14:paraId="4BD60F01" w14:textId="77777777" w:rsidR="00F966F9" w:rsidRPr="00853691" w:rsidRDefault="00F966F9" w:rsidP="009A0F7C">
            <w:pPr>
              <w:spacing w:after="120"/>
              <w:rPr>
                <w:rFonts w:ascii="Garamond" w:hAnsi="Garamond"/>
                <w:b/>
                <w:bCs/>
              </w:rPr>
            </w:pPr>
          </w:p>
        </w:tc>
      </w:tr>
      <w:tr w:rsidR="00F966F9" w:rsidRPr="00853691" w14:paraId="3A86CFE1" w14:textId="77777777" w:rsidTr="009A0F7C">
        <w:trPr>
          <w:jc w:val="center"/>
        </w:trPr>
        <w:tc>
          <w:tcPr>
            <w:tcW w:w="421" w:type="dxa"/>
            <w:shd w:val="clear" w:color="auto" w:fill="auto"/>
            <w:vAlign w:val="center"/>
          </w:tcPr>
          <w:p w14:paraId="247C0656" w14:textId="77777777" w:rsidR="00F966F9" w:rsidRPr="00853691" w:rsidRDefault="00F966F9" w:rsidP="00F966F9">
            <w:pPr>
              <w:pStyle w:val="ListParagraph"/>
              <w:numPr>
                <w:ilvl w:val="0"/>
                <w:numId w:val="13"/>
              </w:numPr>
              <w:spacing w:after="120"/>
              <w:ind w:left="306" w:right="25" w:hanging="306"/>
              <w:contextualSpacing w:val="0"/>
              <w:rPr>
                <w:rFonts w:ascii="Garamond" w:hAnsi="Garamond"/>
                <w:b/>
              </w:rPr>
            </w:pPr>
          </w:p>
        </w:tc>
        <w:tc>
          <w:tcPr>
            <w:tcW w:w="6804" w:type="dxa"/>
            <w:shd w:val="clear" w:color="auto" w:fill="auto"/>
            <w:vAlign w:val="center"/>
          </w:tcPr>
          <w:p w14:paraId="450BDFFE" w14:textId="77777777" w:rsidR="00F966F9" w:rsidRPr="00853691" w:rsidRDefault="00F966F9" w:rsidP="009A0F7C">
            <w:pPr>
              <w:spacing w:after="120"/>
              <w:rPr>
                <w:rFonts w:ascii="Garamond" w:hAnsi="Garamond" w:cs="Times New Roman"/>
                <w:b/>
                <w:bCs/>
              </w:rPr>
            </w:pPr>
            <w:r w:rsidRPr="00853691">
              <w:rPr>
                <w:rFonts w:ascii="Garamond" w:hAnsi="Garamond" w:cs="Times New Roman"/>
                <w:b/>
                <w:bCs/>
              </w:rPr>
              <w:t>Kriisireservi loomine omavalitsuste kriisivarude soetamise kulude katteks.</w:t>
            </w:r>
          </w:p>
          <w:p w14:paraId="739CE970" w14:textId="77777777" w:rsidR="00F966F9" w:rsidRPr="00853691" w:rsidRDefault="00F966F9" w:rsidP="009A0F7C">
            <w:pPr>
              <w:spacing w:after="120"/>
              <w:rPr>
                <w:rFonts w:ascii="Garamond" w:hAnsi="Garamond" w:cs="Times New Roman"/>
              </w:rPr>
            </w:pPr>
            <w:r w:rsidRPr="00853691">
              <w:rPr>
                <w:rFonts w:ascii="Garamond" w:hAnsi="Garamond" w:cs="Times New Roman"/>
              </w:rPr>
              <w:t>Päästeameti poolt on 2023. aasta jaanuaris kinnitatud „Ulatusliku evakuatsiooni korraldamise plaan“. Selle kohaselt peavad omavalitsused koostama plaani, kus on määratletud haldusterritooriumil asuvad võimalikud evakuatsioonikohad vähemalt 2%-</w:t>
            </w:r>
            <w:proofErr w:type="spellStart"/>
            <w:r w:rsidRPr="00853691">
              <w:rPr>
                <w:rFonts w:ascii="Garamond" w:hAnsi="Garamond" w:cs="Times New Roman"/>
              </w:rPr>
              <w:t>le</w:t>
            </w:r>
            <w:proofErr w:type="spellEnd"/>
            <w:r w:rsidRPr="00853691">
              <w:rPr>
                <w:rFonts w:ascii="Garamond" w:hAnsi="Garamond" w:cs="Times New Roman"/>
              </w:rPr>
              <w:t xml:space="preserve"> omavalitsuse elanikest.</w:t>
            </w:r>
          </w:p>
          <w:p w14:paraId="65B4698B" w14:textId="77777777" w:rsidR="00F966F9" w:rsidRPr="00853691" w:rsidRDefault="00F966F9" w:rsidP="009A0F7C">
            <w:pPr>
              <w:spacing w:after="120"/>
              <w:rPr>
                <w:rFonts w:ascii="Garamond" w:hAnsi="Garamond" w:cs="Times New Roman"/>
              </w:rPr>
            </w:pPr>
            <w:r w:rsidRPr="00853691">
              <w:rPr>
                <w:rFonts w:ascii="Garamond" w:hAnsi="Garamond" w:cs="Times New Roman"/>
              </w:rPr>
              <w:t>Plaani järgi peab KOV tagama evakuatsioonikohtade tööks vajaliku varustuse ja abistama evakuatsioonikohtades toitlustamisega.</w:t>
            </w:r>
          </w:p>
          <w:p w14:paraId="5541DD13" w14:textId="06687B92" w:rsidR="00F966F9" w:rsidRPr="00853691" w:rsidRDefault="00F966F9" w:rsidP="009A0F7C">
            <w:pPr>
              <w:spacing w:after="120"/>
              <w:rPr>
                <w:rFonts w:ascii="Garamond" w:hAnsi="Garamond" w:cs="Times New Roman"/>
              </w:rPr>
            </w:pPr>
            <w:r w:rsidRPr="00853691">
              <w:rPr>
                <w:rFonts w:ascii="Garamond" w:hAnsi="Garamond" w:cs="Times New Roman"/>
              </w:rPr>
              <w:t>See tähendab, et näiteks Tallinn peab olema valmis pakkuma evakuatsiooni</w:t>
            </w:r>
            <w:r>
              <w:rPr>
                <w:rFonts w:ascii="Garamond" w:hAnsi="Garamond" w:cs="Times New Roman"/>
              </w:rPr>
              <w:softHyphen/>
            </w:r>
            <w:r w:rsidRPr="00853691">
              <w:rPr>
                <w:rFonts w:ascii="Garamond" w:hAnsi="Garamond" w:cs="Times New Roman"/>
              </w:rPr>
              <w:t>kohti 9228 inimesele; Harku vald 361; Keila linn 208; Maardu linn 325; Kohtla-Järve linn 639; Tartu linn 1965 jne.</w:t>
            </w:r>
          </w:p>
          <w:p w14:paraId="5ACB0B1A" w14:textId="77777777" w:rsidR="00F966F9" w:rsidRPr="00853691" w:rsidRDefault="00F966F9" w:rsidP="009A0F7C">
            <w:pPr>
              <w:spacing w:after="120"/>
              <w:rPr>
                <w:rFonts w:ascii="Garamond" w:hAnsi="Garamond" w:cs="Times New Roman"/>
              </w:rPr>
            </w:pPr>
            <w:r w:rsidRPr="00853691">
              <w:rPr>
                <w:rFonts w:ascii="Garamond" w:hAnsi="Garamond" w:cs="Times New Roman"/>
              </w:rPr>
              <w:t>Teeme ettepaneku näha kohalikele omavalitsustele ette vahendid evakuatsioonikohtade tööks vajaliku varustuse hankimiseks.</w:t>
            </w:r>
          </w:p>
        </w:tc>
        <w:tc>
          <w:tcPr>
            <w:tcW w:w="5103" w:type="dxa"/>
            <w:shd w:val="clear" w:color="auto" w:fill="auto"/>
            <w:vAlign w:val="center"/>
          </w:tcPr>
          <w:p w14:paraId="3A75BF2F" w14:textId="77777777" w:rsidR="00F966F9" w:rsidRPr="00853691" w:rsidRDefault="00F966F9" w:rsidP="009A0F7C">
            <w:pPr>
              <w:spacing w:after="120"/>
              <w:rPr>
                <w:rFonts w:ascii="Garamond" w:hAnsi="Garamond"/>
                <w:b/>
                <w:bCs/>
              </w:rPr>
            </w:pPr>
          </w:p>
        </w:tc>
        <w:tc>
          <w:tcPr>
            <w:tcW w:w="2552" w:type="dxa"/>
            <w:shd w:val="clear" w:color="auto" w:fill="auto"/>
            <w:vAlign w:val="center"/>
          </w:tcPr>
          <w:p w14:paraId="523446A4" w14:textId="77777777" w:rsidR="00F966F9" w:rsidRPr="00853691" w:rsidRDefault="00F966F9" w:rsidP="009A0F7C">
            <w:pPr>
              <w:spacing w:after="120"/>
              <w:rPr>
                <w:rFonts w:ascii="Garamond" w:hAnsi="Garamond"/>
                <w:b/>
                <w:bCs/>
              </w:rPr>
            </w:pPr>
          </w:p>
        </w:tc>
      </w:tr>
      <w:tr w:rsidR="00F966F9" w:rsidRPr="00853691" w14:paraId="1B4DCDDB" w14:textId="77777777" w:rsidTr="009A0F7C">
        <w:trPr>
          <w:jc w:val="center"/>
        </w:trPr>
        <w:tc>
          <w:tcPr>
            <w:tcW w:w="421" w:type="dxa"/>
            <w:shd w:val="clear" w:color="auto" w:fill="auto"/>
            <w:vAlign w:val="center"/>
          </w:tcPr>
          <w:p w14:paraId="60E1BD75" w14:textId="77777777" w:rsidR="00F966F9" w:rsidRPr="00853691" w:rsidRDefault="00F966F9" w:rsidP="00F966F9">
            <w:pPr>
              <w:pStyle w:val="ListParagraph"/>
              <w:numPr>
                <w:ilvl w:val="0"/>
                <w:numId w:val="13"/>
              </w:numPr>
              <w:spacing w:after="120"/>
              <w:ind w:left="306" w:right="25" w:hanging="306"/>
              <w:contextualSpacing w:val="0"/>
              <w:rPr>
                <w:rFonts w:ascii="Garamond" w:hAnsi="Garamond"/>
                <w:b/>
              </w:rPr>
            </w:pPr>
          </w:p>
        </w:tc>
        <w:tc>
          <w:tcPr>
            <w:tcW w:w="6804" w:type="dxa"/>
            <w:shd w:val="clear" w:color="auto" w:fill="auto"/>
            <w:vAlign w:val="center"/>
          </w:tcPr>
          <w:p w14:paraId="4F2E1FB9" w14:textId="77777777" w:rsidR="00F966F9" w:rsidRPr="00853691" w:rsidRDefault="00F966F9" w:rsidP="009A0F7C">
            <w:pPr>
              <w:spacing w:after="120"/>
              <w:rPr>
                <w:rFonts w:ascii="Garamond" w:hAnsi="Garamond" w:cs="Times New Roman"/>
                <w:b/>
                <w:bCs/>
              </w:rPr>
            </w:pPr>
            <w:r w:rsidRPr="00853691">
              <w:rPr>
                <w:rFonts w:ascii="Garamond" w:hAnsi="Garamond" w:cs="Times New Roman"/>
                <w:b/>
                <w:bCs/>
              </w:rPr>
              <w:t>Kortermajade kriisikindluse suurendamine.</w:t>
            </w:r>
          </w:p>
          <w:p w14:paraId="3783DD77" w14:textId="77777777" w:rsidR="00F966F9" w:rsidRPr="00853691" w:rsidRDefault="00F966F9" w:rsidP="009A0F7C">
            <w:pPr>
              <w:spacing w:after="120"/>
              <w:rPr>
                <w:rFonts w:ascii="Garamond" w:eastAsia="Times New Roman" w:hAnsi="Garamond" w:cs="Arial"/>
                <w:color w:val="000000"/>
              </w:rPr>
            </w:pPr>
            <w:r w:rsidRPr="00853691">
              <w:rPr>
                <w:rFonts w:ascii="Garamond" w:eastAsia="Times New Roman" w:hAnsi="Garamond" w:cs="Arial"/>
                <w:color w:val="000000"/>
              </w:rPr>
              <w:t xml:space="preserve">Kortermajades (korteriühistutes) elab valdav osa Eesti elanikkonnast ning seega on kriiside nagu elektri- ja veevarustuse katkemine nende osas kõige suurema negatiivse mõjuga. Selleks, et suurendada korteriühistute hakkama saamist keerulistes olukordades on vajalik toetada nende tehnosüsteemide renoveerimist tagamaks vajadusel ka nende autonoomne toimimine. Hoonetes paiknevate soojasõlmede, veesurve tõstmispumpade ning </w:t>
            </w:r>
            <w:proofErr w:type="spellStart"/>
            <w:r w:rsidRPr="00853691">
              <w:rPr>
                <w:rFonts w:ascii="Garamond" w:eastAsia="Times New Roman" w:hAnsi="Garamond" w:cs="Arial"/>
                <w:color w:val="000000"/>
              </w:rPr>
              <w:t>üldalade</w:t>
            </w:r>
            <w:proofErr w:type="spellEnd"/>
            <w:r w:rsidRPr="00853691">
              <w:rPr>
                <w:rFonts w:ascii="Garamond" w:eastAsia="Times New Roman" w:hAnsi="Garamond" w:cs="Arial"/>
                <w:color w:val="000000"/>
              </w:rPr>
              <w:t xml:space="preserve"> valgustuse toimimise tagamiseks on vajalik alternatiivsete elektritoiteallikate planeerimine, mis tähendab ka osalist hoonete elektrisüsteemide ümberehitamist.</w:t>
            </w:r>
          </w:p>
          <w:p w14:paraId="58D3EF3A" w14:textId="77777777" w:rsidR="00F966F9" w:rsidRPr="00853691" w:rsidRDefault="00F966F9" w:rsidP="009A0F7C">
            <w:pPr>
              <w:spacing w:after="120"/>
              <w:rPr>
                <w:rFonts w:ascii="Garamond" w:hAnsi="Garamond" w:cs="Times New Roman"/>
              </w:rPr>
            </w:pPr>
            <w:r w:rsidRPr="00853691">
              <w:rPr>
                <w:rFonts w:ascii="Garamond" w:hAnsi="Garamond" w:cs="Times New Roman"/>
              </w:rPr>
              <w:t xml:space="preserve">Viimase aasta arengud maailmas on näidanud, et ühiskonna autonoomsust on vaja tõsta igal tasandil. Tallinna Linnavaraameti hinnangute kohaselt maksaks </w:t>
            </w:r>
            <w:r w:rsidRPr="00853691">
              <w:rPr>
                <w:rFonts w:ascii="Garamond" w:hAnsi="Garamond" w:cs="Times New Roman"/>
              </w:rPr>
              <w:lastRenderedPageBreak/>
              <w:t>ühe 5-korruselise nelja trepikojaga paneelelamu viimine autonoomsele generaatortoitele miinimumtasemel (st toimivad elutähtsad teenused – vee ja kütteringlus, koridoride valgustus, laadimispunkt, kuid korterites valgust ega voolu ei ole) ca 30-40 000 eurot. Toetusmeede peaks katma vähemalt pool hoone eeldatavast kulust. Et meetmel oleks mõju, peab selle kasutamine olema laialdane. 09.02.24 seisuga on Eestis registreeritud 24 838 korteriühistut (Eesti Korteriühistute andmebaasi andmetel).</w:t>
            </w:r>
          </w:p>
          <w:p w14:paraId="558D6B78" w14:textId="77777777" w:rsidR="00F966F9" w:rsidRPr="00853691" w:rsidRDefault="00F966F9" w:rsidP="009A0F7C">
            <w:pPr>
              <w:spacing w:after="120"/>
              <w:rPr>
                <w:rFonts w:ascii="Garamond" w:eastAsia="Times New Roman" w:hAnsi="Garamond" w:cs="Arial"/>
                <w:color w:val="000000"/>
              </w:rPr>
            </w:pPr>
            <w:r w:rsidRPr="00853691">
              <w:rPr>
                <w:rFonts w:ascii="Garamond" w:hAnsi="Garamond" w:cs="Times New Roman"/>
              </w:rPr>
              <w:t xml:space="preserve">Toetatavate projektide arv võiks olla vähemalt 1000 st rahastuse vajadus </w:t>
            </w:r>
            <w:r w:rsidRPr="00853691">
              <w:rPr>
                <w:rFonts w:ascii="Garamond" w:hAnsi="Garamond" w:cs="Times New Roman"/>
                <w:b/>
                <w:bCs/>
              </w:rPr>
              <w:t>ca 35 mln eurot.</w:t>
            </w:r>
          </w:p>
        </w:tc>
        <w:tc>
          <w:tcPr>
            <w:tcW w:w="5103" w:type="dxa"/>
            <w:shd w:val="clear" w:color="auto" w:fill="auto"/>
            <w:vAlign w:val="center"/>
          </w:tcPr>
          <w:p w14:paraId="2D60CDE9" w14:textId="77777777" w:rsidR="00F966F9" w:rsidRPr="00853691" w:rsidRDefault="00F966F9" w:rsidP="009A0F7C">
            <w:pPr>
              <w:spacing w:after="120"/>
              <w:rPr>
                <w:rFonts w:ascii="Garamond" w:hAnsi="Garamond"/>
                <w:b/>
                <w:bCs/>
              </w:rPr>
            </w:pPr>
          </w:p>
        </w:tc>
        <w:tc>
          <w:tcPr>
            <w:tcW w:w="2552" w:type="dxa"/>
            <w:shd w:val="clear" w:color="auto" w:fill="auto"/>
            <w:vAlign w:val="center"/>
          </w:tcPr>
          <w:p w14:paraId="75C82C06" w14:textId="77777777" w:rsidR="00F966F9" w:rsidRPr="00853691" w:rsidRDefault="00F966F9" w:rsidP="009A0F7C">
            <w:pPr>
              <w:spacing w:after="120"/>
              <w:rPr>
                <w:rFonts w:ascii="Garamond" w:hAnsi="Garamond"/>
                <w:b/>
                <w:bCs/>
              </w:rPr>
            </w:pPr>
          </w:p>
        </w:tc>
      </w:tr>
      <w:tr w:rsidR="00F966F9" w:rsidRPr="00853691" w14:paraId="0FE12FA7" w14:textId="77777777" w:rsidTr="009A0F7C">
        <w:trPr>
          <w:jc w:val="center"/>
        </w:trPr>
        <w:tc>
          <w:tcPr>
            <w:tcW w:w="14880" w:type="dxa"/>
            <w:gridSpan w:val="4"/>
            <w:shd w:val="clear" w:color="auto" w:fill="auto"/>
            <w:vAlign w:val="center"/>
          </w:tcPr>
          <w:p w14:paraId="12DEFEC9" w14:textId="77777777" w:rsidR="00F966F9" w:rsidRPr="00853691" w:rsidRDefault="00F966F9" w:rsidP="009A0F7C">
            <w:pPr>
              <w:spacing w:after="120"/>
              <w:rPr>
                <w:rFonts w:ascii="Garamond" w:hAnsi="Garamond"/>
                <w:b/>
                <w:bCs/>
              </w:rPr>
            </w:pPr>
            <w:r w:rsidRPr="00853691">
              <w:rPr>
                <w:rFonts w:ascii="Garamond" w:hAnsi="Garamond"/>
                <w:b/>
                <w:bCs/>
              </w:rPr>
              <w:t>Täiendavad ettepanekud</w:t>
            </w:r>
          </w:p>
        </w:tc>
      </w:tr>
      <w:tr w:rsidR="00F966F9" w:rsidRPr="00853691" w14:paraId="2F9952D3" w14:textId="77777777" w:rsidTr="009A0F7C">
        <w:trPr>
          <w:jc w:val="center"/>
        </w:trPr>
        <w:tc>
          <w:tcPr>
            <w:tcW w:w="421" w:type="dxa"/>
            <w:shd w:val="clear" w:color="auto" w:fill="auto"/>
            <w:vAlign w:val="center"/>
          </w:tcPr>
          <w:p w14:paraId="4CEDC9D9" w14:textId="77777777" w:rsidR="00F966F9" w:rsidRPr="00853691" w:rsidRDefault="00F966F9" w:rsidP="00F966F9">
            <w:pPr>
              <w:pStyle w:val="ListParagraph"/>
              <w:numPr>
                <w:ilvl w:val="0"/>
                <w:numId w:val="13"/>
              </w:numPr>
              <w:spacing w:after="120"/>
              <w:ind w:left="306" w:right="25" w:hanging="306"/>
              <w:contextualSpacing w:val="0"/>
              <w:rPr>
                <w:rFonts w:ascii="Garamond" w:hAnsi="Garamond"/>
                <w:b/>
              </w:rPr>
            </w:pPr>
          </w:p>
        </w:tc>
        <w:tc>
          <w:tcPr>
            <w:tcW w:w="6804" w:type="dxa"/>
            <w:shd w:val="clear" w:color="auto" w:fill="auto"/>
            <w:vAlign w:val="center"/>
          </w:tcPr>
          <w:p w14:paraId="59655BCD" w14:textId="77777777" w:rsidR="00F966F9" w:rsidRPr="00890FF3" w:rsidRDefault="00F966F9" w:rsidP="009A0F7C">
            <w:pPr>
              <w:spacing w:after="120"/>
              <w:rPr>
                <w:rFonts w:ascii="Garamond" w:hAnsi="Garamond"/>
                <w:b/>
                <w:bCs/>
              </w:rPr>
            </w:pPr>
            <w:r w:rsidRPr="00890FF3">
              <w:rPr>
                <w:rFonts w:ascii="Garamond" w:hAnsi="Garamond"/>
                <w:b/>
                <w:bCs/>
              </w:rPr>
              <w:t xml:space="preserve">Erinevate ehitiste rajamise kohustusega kaasnevate </w:t>
            </w:r>
            <w:proofErr w:type="spellStart"/>
            <w:r w:rsidRPr="00890FF3">
              <w:rPr>
                <w:rFonts w:ascii="Garamond" w:hAnsi="Garamond"/>
                <w:b/>
                <w:bCs/>
              </w:rPr>
              <w:t>KOV-i</w:t>
            </w:r>
            <w:proofErr w:type="spellEnd"/>
            <w:r w:rsidRPr="00890FF3">
              <w:rPr>
                <w:rFonts w:ascii="Garamond" w:hAnsi="Garamond"/>
                <w:b/>
                <w:bCs/>
              </w:rPr>
              <w:t xml:space="preserve"> kulude katmine:</w:t>
            </w:r>
          </w:p>
          <w:p w14:paraId="207FBCBD" w14:textId="77777777" w:rsidR="00F966F9" w:rsidRPr="00853691" w:rsidRDefault="00F966F9" w:rsidP="00F966F9">
            <w:pPr>
              <w:pStyle w:val="ListParagraph"/>
              <w:numPr>
                <w:ilvl w:val="0"/>
                <w:numId w:val="14"/>
              </w:numPr>
              <w:spacing w:after="120"/>
              <w:contextualSpacing w:val="0"/>
              <w:rPr>
                <w:rFonts w:ascii="Garamond" w:hAnsi="Garamond"/>
              </w:rPr>
            </w:pPr>
            <w:r w:rsidRPr="00853691">
              <w:rPr>
                <w:rFonts w:ascii="Garamond" w:hAnsi="Garamond"/>
              </w:rPr>
              <w:t>Sobivate hoonete varjumiskohtadeks kohandamine (</w:t>
            </w:r>
            <w:proofErr w:type="spellStart"/>
            <w:r w:rsidRPr="00853691">
              <w:rPr>
                <w:rFonts w:ascii="Garamond" w:hAnsi="Garamond"/>
              </w:rPr>
              <w:t>KOV-i</w:t>
            </w:r>
            <w:proofErr w:type="spellEnd"/>
            <w:r w:rsidRPr="00853691">
              <w:rPr>
                <w:rFonts w:ascii="Garamond" w:hAnsi="Garamond"/>
              </w:rPr>
              <w:t xml:space="preserve"> hooned, erasektori hooned, korteriühistud);</w:t>
            </w:r>
          </w:p>
          <w:p w14:paraId="5F785C66" w14:textId="77777777" w:rsidR="00F966F9" w:rsidRPr="00853691" w:rsidRDefault="00F966F9" w:rsidP="00F966F9">
            <w:pPr>
              <w:pStyle w:val="ListParagraph"/>
              <w:numPr>
                <w:ilvl w:val="0"/>
                <w:numId w:val="14"/>
              </w:numPr>
              <w:spacing w:after="120"/>
              <w:contextualSpacing w:val="0"/>
              <w:rPr>
                <w:rFonts w:ascii="Garamond" w:hAnsi="Garamond"/>
              </w:rPr>
            </w:pPr>
            <w:r w:rsidRPr="00853691">
              <w:rPr>
                <w:rFonts w:ascii="Garamond" w:hAnsi="Garamond"/>
              </w:rPr>
              <w:t xml:space="preserve">Igasse </w:t>
            </w:r>
            <w:proofErr w:type="spellStart"/>
            <w:r w:rsidRPr="00853691">
              <w:rPr>
                <w:rFonts w:ascii="Garamond" w:hAnsi="Garamond"/>
              </w:rPr>
              <w:t>KOV-i</w:t>
            </w:r>
            <w:proofErr w:type="spellEnd"/>
            <w:r w:rsidRPr="00853691">
              <w:rPr>
                <w:rFonts w:ascii="Garamond" w:hAnsi="Garamond"/>
              </w:rPr>
              <w:t xml:space="preserve"> kerksuskeskuste võrgustiku loomine ja generaatori vastuvõtmise võimekuse väljaehitamine;</w:t>
            </w:r>
          </w:p>
          <w:p w14:paraId="277DA8AC" w14:textId="77777777" w:rsidR="00F966F9" w:rsidRPr="00853691" w:rsidRDefault="00F966F9" w:rsidP="00F966F9">
            <w:pPr>
              <w:pStyle w:val="ListParagraph"/>
              <w:numPr>
                <w:ilvl w:val="0"/>
                <w:numId w:val="14"/>
              </w:numPr>
              <w:spacing w:after="120"/>
              <w:contextualSpacing w:val="0"/>
              <w:rPr>
                <w:rFonts w:ascii="Garamond" w:hAnsi="Garamond"/>
              </w:rPr>
            </w:pPr>
            <w:r w:rsidRPr="00853691">
              <w:rPr>
                <w:rFonts w:ascii="Garamond" w:hAnsi="Garamond"/>
              </w:rPr>
              <w:t xml:space="preserve">Igale </w:t>
            </w:r>
            <w:proofErr w:type="spellStart"/>
            <w:r w:rsidRPr="00853691">
              <w:rPr>
                <w:rFonts w:ascii="Garamond" w:hAnsi="Garamond"/>
              </w:rPr>
              <w:t>KOV-le</w:t>
            </w:r>
            <w:proofErr w:type="spellEnd"/>
            <w:r w:rsidRPr="00853691">
              <w:rPr>
                <w:rFonts w:ascii="Garamond" w:hAnsi="Garamond"/>
              </w:rPr>
              <w:t xml:space="preserve"> kriisi- ja elanikkonnakaitse varude hoone ehitamine (või olemasoleva hoone renoveerimine kriisivarude hoidmiseks). Hoone, kus hoitakse generaatoreid, magamisvarustust (välivoodid, tekid, padjad) ja muu elanikkonnakaitse varu hoidmiseks. Hoone peaks olema nii suur, et sinna on võimalik ladustada KOV kriisivaru ning riiklik eelpaigutatud kriisivaru, humanitaarabi;</w:t>
            </w:r>
          </w:p>
          <w:p w14:paraId="1ABC8C61" w14:textId="77777777" w:rsidR="00F966F9" w:rsidRPr="00853691" w:rsidRDefault="00F966F9" w:rsidP="00F966F9">
            <w:pPr>
              <w:pStyle w:val="ListParagraph"/>
              <w:numPr>
                <w:ilvl w:val="0"/>
                <w:numId w:val="14"/>
              </w:numPr>
              <w:spacing w:after="120"/>
              <w:contextualSpacing w:val="0"/>
              <w:rPr>
                <w:rFonts w:ascii="Garamond" w:hAnsi="Garamond"/>
              </w:rPr>
            </w:pPr>
            <w:r w:rsidRPr="00853691">
              <w:rPr>
                <w:rFonts w:ascii="Garamond" w:hAnsi="Garamond"/>
              </w:rPr>
              <w:t>Kriisi- ja elanikkonnakaitse varude hoone ülalpidamiskulu.</w:t>
            </w:r>
          </w:p>
          <w:p w14:paraId="4E621A10" w14:textId="77777777" w:rsidR="00F966F9" w:rsidRPr="00890FF3" w:rsidRDefault="00F966F9" w:rsidP="009A0F7C">
            <w:pPr>
              <w:spacing w:after="120"/>
              <w:rPr>
                <w:rFonts w:ascii="Garamond" w:hAnsi="Garamond" w:cs="Times New Roman"/>
              </w:rPr>
            </w:pPr>
            <w:r w:rsidRPr="00853691">
              <w:rPr>
                <w:rFonts w:ascii="Garamond" w:hAnsi="Garamond" w:cs="Times New Roman"/>
              </w:rPr>
              <w:t xml:space="preserve">Tagada </w:t>
            </w:r>
            <w:proofErr w:type="spellStart"/>
            <w:r w:rsidRPr="00853691">
              <w:rPr>
                <w:rFonts w:ascii="Garamond" w:hAnsi="Garamond" w:cs="Times New Roman"/>
              </w:rPr>
              <w:t>KOV-idele</w:t>
            </w:r>
            <w:proofErr w:type="spellEnd"/>
            <w:r w:rsidRPr="00853691">
              <w:rPr>
                <w:rFonts w:ascii="Garamond" w:hAnsi="Garamond" w:cs="Times New Roman"/>
              </w:rPr>
              <w:t xml:space="preserve"> </w:t>
            </w:r>
            <w:proofErr w:type="spellStart"/>
            <w:r w:rsidRPr="00853691">
              <w:rPr>
                <w:rFonts w:ascii="Garamond" w:hAnsi="Garamond" w:cs="Times New Roman"/>
              </w:rPr>
              <w:t>siseturvalisuse</w:t>
            </w:r>
            <w:proofErr w:type="spellEnd"/>
            <w:r w:rsidRPr="00853691">
              <w:rPr>
                <w:rFonts w:ascii="Garamond" w:hAnsi="Garamond" w:cs="Times New Roman"/>
              </w:rPr>
              <w:t xml:space="preserve"> ja kriisivalmiduse </w:t>
            </w:r>
            <w:proofErr w:type="spellStart"/>
            <w:r w:rsidRPr="00853691">
              <w:rPr>
                <w:rFonts w:ascii="Garamond" w:hAnsi="Garamond" w:cs="Times New Roman"/>
              </w:rPr>
              <w:t>tagagamisega</w:t>
            </w:r>
            <w:proofErr w:type="spellEnd"/>
            <w:r w:rsidRPr="00853691">
              <w:rPr>
                <w:rFonts w:ascii="Garamond" w:hAnsi="Garamond" w:cs="Times New Roman"/>
              </w:rPr>
              <w:t xml:space="preserve"> seotud kohustuste rahastamine. </w:t>
            </w:r>
          </w:p>
        </w:tc>
        <w:tc>
          <w:tcPr>
            <w:tcW w:w="5103" w:type="dxa"/>
            <w:shd w:val="clear" w:color="auto" w:fill="auto"/>
            <w:vAlign w:val="center"/>
          </w:tcPr>
          <w:p w14:paraId="248EB3D4" w14:textId="77777777" w:rsidR="00F966F9" w:rsidRPr="00853691" w:rsidRDefault="00F966F9" w:rsidP="009A0F7C">
            <w:pPr>
              <w:spacing w:after="120"/>
              <w:rPr>
                <w:rFonts w:ascii="Garamond" w:hAnsi="Garamond"/>
                <w:b/>
                <w:bCs/>
              </w:rPr>
            </w:pPr>
          </w:p>
        </w:tc>
        <w:tc>
          <w:tcPr>
            <w:tcW w:w="2552" w:type="dxa"/>
            <w:shd w:val="clear" w:color="auto" w:fill="auto"/>
            <w:vAlign w:val="center"/>
          </w:tcPr>
          <w:p w14:paraId="11958198" w14:textId="77777777" w:rsidR="00F966F9" w:rsidRPr="00853691" w:rsidRDefault="00F966F9" w:rsidP="009A0F7C">
            <w:pPr>
              <w:spacing w:after="120"/>
              <w:rPr>
                <w:rFonts w:ascii="Garamond" w:hAnsi="Garamond"/>
                <w:b/>
                <w:bCs/>
              </w:rPr>
            </w:pPr>
          </w:p>
        </w:tc>
      </w:tr>
    </w:tbl>
    <w:p w14:paraId="280B41BE" w14:textId="77777777" w:rsidR="00F966F9" w:rsidRPr="004F45F4" w:rsidRDefault="00F966F9" w:rsidP="00F966F9">
      <w:pPr>
        <w:pStyle w:val="Heading1"/>
        <w:spacing w:before="0" w:line="240" w:lineRule="auto"/>
        <w:rPr>
          <w:color w:val="FF0000"/>
          <w:sz w:val="22"/>
          <w:szCs w:val="22"/>
        </w:rPr>
      </w:pPr>
    </w:p>
    <w:p w14:paraId="050A7129" w14:textId="77777777" w:rsidR="006D57D8" w:rsidRPr="00F966F9" w:rsidRDefault="006D57D8" w:rsidP="00F966F9"/>
    <w:sectPr w:rsidR="006D57D8" w:rsidRPr="00F966F9" w:rsidSect="00FF1E41">
      <w:footerReference w:type="default" r:id="rId7"/>
      <w:pgSz w:w="16838" w:h="11906" w:orient="landscape"/>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1E3E" w14:textId="77777777" w:rsidR="004D77E3" w:rsidRDefault="004D77E3" w:rsidP="00405FB8">
      <w:pPr>
        <w:spacing w:after="0" w:line="240" w:lineRule="auto"/>
      </w:pPr>
      <w:r>
        <w:separator/>
      </w:r>
    </w:p>
  </w:endnote>
  <w:endnote w:type="continuationSeparator" w:id="0">
    <w:p w14:paraId="732EB284" w14:textId="77777777" w:rsidR="004D77E3" w:rsidRDefault="004D77E3" w:rsidP="0040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Garamond-Bold">
    <w:altName w:val="Garamon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494834624"/>
      <w:docPartObj>
        <w:docPartGallery w:val="Page Numbers (Bottom of Page)"/>
        <w:docPartUnique/>
      </w:docPartObj>
    </w:sdtPr>
    <w:sdtEndPr/>
    <w:sdtContent>
      <w:p w14:paraId="52E5EEBD" w14:textId="77777777" w:rsidR="0027016C" w:rsidRPr="00CD7894" w:rsidRDefault="00235948">
        <w:pPr>
          <w:pStyle w:val="Footer"/>
          <w:jc w:val="right"/>
          <w:rPr>
            <w:rFonts w:ascii="Garamond" w:hAnsi="Garamond"/>
          </w:rPr>
        </w:pPr>
        <w:r w:rsidRPr="00CD7894">
          <w:rPr>
            <w:rFonts w:ascii="Garamond" w:hAnsi="Garamond"/>
          </w:rPr>
          <w:fldChar w:fldCharType="begin"/>
        </w:r>
        <w:r w:rsidRPr="00CD7894">
          <w:rPr>
            <w:rFonts w:ascii="Garamond" w:hAnsi="Garamond"/>
          </w:rPr>
          <w:instrText xml:space="preserve">PAGE   \* </w:instrText>
        </w:r>
        <w:r w:rsidRPr="00CD7894">
          <w:rPr>
            <w:rFonts w:ascii="Garamond" w:hAnsi="Garamond"/>
          </w:rPr>
          <w:instrText>MERGEFORMAT</w:instrText>
        </w:r>
        <w:r w:rsidRPr="00CD7894">
          <w:rPr>
            <w:rFonts w:ascii="Garamond" w:hAnsi="Garamond"/>
          </w:rPr>
          <w:fldChar w:fldCharType="separate"/>
        </w:r>
        <w:r w:rsidRPr="00CD7894">
          <w:rPr>
            <w:rFonts w:ascii="Garamond" w:hAnsi="Garamond"/>
            <w:noProof/>
          </w:rPr>
          <w:t>4</w:t>
        </w:r>
        <w:r w:rsidRPr="00CD7894">
          <w:rPr>
            <w:rFonts w:ascii="Garamond" w:hAnsi="Garamond"/>
            <w:noProof/>
          </w:rPr>
          <w:t>8</w:t>
        </w:r>
        <w:r w:rsidRPr="00CD7894">
          <w:rPr>
            <w:rFonts w:ascii="Garamond" w:hAnsi="Garamond"/>
          </w:rPr>
          <w:fldChar w:fldCharType="end"/>
        </w:r>
      </w:p>
    </w:sdtContent>
  </w:sdt>
  <w:p w14:paraId="5A04A4E5" w14:textId="77777777" w:rsidR="0027016C" w:rsidRDefault="0027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5295" w14:textId="77777777" w:rsidR="004D77E3" w:rsidRDefault="004D77E3" w:rsidP="00405FB8">
      <w:pPr>
        <w:spacing w:after="0" w:line="240" w:lineRule="auto"/>
      </w:pPr>
      <w:r>
        <w:separator/>
      </w:r>
    </w:p>
  </w:footnote>
  <w:footnote w:type="continuationSeparator" w:id="0">
    <w:p w14:paraId="73597C9A" w14:textId="77777777" w:rsidR="004D77E3" w:rsidRDefault="004D77E3" w:rsidP="00405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063"/>
    <w:multiLevelType w:val="hybridMultilevel"/>
    <w:tmpl w:val="1AF8F1EC"/>
    <w:lvl w:ilvl="0" w:tplc="C9CC3458">
      <w:start w:val="1"/>
      <w:numFmt w:val="decimal"/>
      <w:lvlText w:val="%1."/>
      <w:lvlJc w:val="left"/>
      <w:pPr>
        <w:ind w:left="389" w:hanging="360"/>
      </w:pPr>
      <w:rPr>
        <w:rFonts w:hint="default"/>
      </w:rPr>
    </w:lvl>
    <w:lvl w:ilvl="1" w:tplc="04250019" w:tentative="1">
      <w:start w:val="1"/>
      <w:numFmt w:val="lowerLetter"/>
      <w:lvlText w:val="%2."/>
      <w:lvlJc w:val="left"/>
      <w:pPr>
        <w:ind w:left="1109" w:hanging="360"/>
      </w:pPr>
    </w:lvl>
    <w:lvl w:ilvl="2" w:tplc="0425001B" w:tentative="1">
      <w:start w:val="1"/>
      <w:numFmt w:val="lowerRoman"/>
      <w:lvlText w:val="%3."/>
      <w:lvlJc w:val="right"/>
      <w:pPr>
        <w:ind w:left="1829" w:hanging="180"/>
      </w:pPr>
    </w:lvl>
    <w:lvl w:ilvl="3" w:tplc="0425000F" w:tentative="1">
      <w:start w:val="1"/>
      <w:numFmt w:val="decimal"/>
      <w:lvlText w:val="%4."/>
      <w:lvlJc w:val="left"/>
      <w:pPr>
        <w:ind w:left="2549" w:hanging="360"/>
      </w:pPr>
    </w:lvl>
    <w:lvl w:ilvl="4" w:tplc="04250019" w:tentative="1">
      <w:start w:val="1"/>
      <w:numFmt w:val="lowerLetter"/>
      <w:lvlText w:val="%5."/>
      <w:lvlJc w:val="left"/>
      <w:pPr>
        <w:ind w:left="3269" w:hanging="360"/>
      </w:pPr>
    </w:lvl>
    <w:lvl w:ilvl="5" w:tplc="0425001B" w:tentative="1">
      <w:start w:val="1"/>
      <w:numFmt w:val="lowerRoman"/>
      <w:lvlText w:val="%6."/>
      <w:lvlJc w:val="right"/>
      <w:pPr>
        <w:ind w:left="3989" w:hanging="180"/>
      </w:pPr>
    </w:lvl>
    <w:lvl w:ilvl="6" w:tplc="0425000F" w:tentative="1">
      <w:start w:val="1"/>
      <w:numFmt w:val="decimal"/>
      <w:lvlText w:val="%7."/>
      <w:lvlJc w:val="left"/>
      <w:pPr>
        <w:ind w:left="4709" w:hanging="360"/>
      </w:pPr>
    </w:lvl>
    <w:lvl w:ilvl="7" w:tplc="04250019" w:tentative="1">
      <w:start w:val="1"/>
      <w:numFmt w:val="lowerLetter"/>
      <w:lvlText w:val="%8."/>
      <w:lvlJc w:val="left"/>
      <w:pPr>
        <w:ind w:left="5429" w:hanging="360"/>
      </w:pPr>
    </w:lvl>
    <w:lvl w:ilvl="8" w:tplc="0425001B" w:tentative="1">
      <w:start w:val="1"/>
      <w:numFmt w:val="lowerRoman"/>
      <w:lvlText w:val="%9."/>
      <w:lvlJc w:val="right"/>
      <w:pPr>
        <w:ind w:left="6149" w:hanging="180"/>
      </w:pPr>
    </w:lvl>
  </w:abstractNum>
  <w:abstractNum w:abstractNumId="1" w15:restartNumberingAfterBreak="0">
    <w:nsid w:val="1B48453F"/>
    <w:multiLevelType w:val="hybridMultilevel"/>
    <w:tmpl w:val="C096E6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35F0A7D"/>
    <w:multiLevelType w:val="hybridMultilevel"/>
    <w:tmpl w:val="76B4631E"/>
    <w:lvl w:ilvl="0" w:tplc="E23249C6">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39E7484"/>
    <w:multiLevelType w:val="hybridMultilevel"/>
    <w:tmpl w:val="C54806AA"/>
    <w:lvl w:ilvl="0" w:tplc="013232A8">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5E4869"/>
    <w:multiLevelType w:val="hybridMultilevel"/>
    <w:tmpl w:val="DAE65154"/>
    <w:lvl w:ilvl="0" w:tplc="0425000F">
      <w:start w:val="1"/>
      <w:numFmt w:val="decimal"/>
      <w:lvlText w:val="%1."/>
      <w:lvlJc w:val="left"/>
      <w:pPr>
        <w:ind w:left="786"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F2A6B0A"/>
    <w:multiLevelType w:val="hybridMultilevel"/>
    <w:tmpl w:val="AF8AAC06"/>
    <w:lvl w:ilvl="0" w:tplc="F0EE925C">
      <w:start w:val="1"/>
      <w:numFmt w:val="decimal"/>
      <w:lvlText w:val="%1."/>
      <w:lvlJc w:val="left"/>
      <w:pPr>
        <w:ind w:left="1136" w:hanging="71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1D541C4"/>
    <w:multiLevelType w:val="multilevel"/>
    <w:tmpl w:val="02F00DA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F109A2"/>
    <w:multiLevelType w:val="hybridMultilevel"/>
    <w:tmpl w:val="80F47A7C"/>
    <w:lvl w:ilvl="0" w:tplc="0425000F">
      <w:start w:val="1"/>
      <w:numFmt w:val="decimal"/>
      <w:lvlText w:val="%1."/>
      <w:lvlJc w:val="left"/>
      <w:pPr>
        <w:ind w:left="786" w:hanging="360"/>
      </w:pPr>
    </w:lvl>
    <w:lvl w:ilvl="1" w:tplc="04250019" w:tentative="1">
      <w:start w:val="1"/>
      <w:numFmt w:val="lowerLetter"/>
      <w:lvlText w:val="%2."/>
      <w:lvlJc w:val="left"/>
      <w:pPr>
        <w:ind w:left="1484" w:hanging="360"/>
      </w:pPr>
    </w:lvl>
    <w:lvl w:ilvl="2" w:tplc="0425001B" w:tentative="1">
      <w:start w:val="1"/>
      <w:numFmt w:val="lowerRoman"/>
      <w:lvlText w:val="%3."/>
      <w:lvlJc w:val="right"/>
      <w:pPr>
        <w:ind w:left="2204" w:hanging="180"/>
      </w:pPr>
    </w:lvl>
    <w:lvl w:ilvl="3" w:tplc="0425000F" w:tentative="1">
      <w:start w:val="1"/>
      <w:numFmt w:val="decimal"/>
      <w:lvlText w:val="%4."/>
      <w:lvlJc w:val="left"/>
      <w:pPr>
        <w:ind w:left="2924" w:hanging="360"/>
      </w:pPr>
    </w:lvl>
    <w:lvl w:ilvl="4" w:tplc="04250019" w:tentative="1">
      <w:start w:val="1"/>
      <w:numFmt w:val="lowerLetter"/>
      <w:lvlText w:val="%5."/>
      <w:lvlJc w:val="left"/>
      <w:pPr>
        <w:ind w:left="3644" w:hanging="360"/>
      </w:pPr>
    </w:lvl>
    <w:lvl w:ilvl="5" w:tplc="0425001B" w:tentative="1">
      <w:start w:val="1"/>
      <w:numFmt w:val="lowerRoman"/>
      <w:lvlText w:val="%6."/>
      <w:lvlJc w:val="right"/>
      <w:pPr>
        <w:ind w:left="4364" w:hanging="180"/>
      </w:pPr>
    </w:lvl>
    <w:lvl w:ilvl="6" w:tplc="0425000F" w:tentative="1">
      <w:start w:val="1"/>
      <w:numFmt w:val="decimal"/>
      <w:lvlText w:val="%7."/>
      <w:lvlJc w:val="left"/>
      <w:pPr>
        <w:ind w:left="5084" w:hanging="360"/>
      </w:pPr>
    </w:lvl>
    <w:lvl w:ilvl="7" w:tplc="04250019" w:tentative="1">
      <w:start w:val="1"/>
      <w:numFmt w:val="lowerLetter"/>
      <w:lvlText w:val="%8."/>
      <w:lvlJc w:val="left"/>
      <w:pPr>
        <w:ind w:left="5804" w:hanging="360"/>
      </w:pPr>
    </w:lvl>
    <w:lvl w:ilvl="8" w:tplc="0425001B" w:tentative="1">
      <w:start w:val="1"/>
      <w:numFmt w:val="lowerRoman"/>
      <w:lvlText w:val="%9."/>
      <w:lvlJc w:val="right"/>
      <w:pPr>
        <w:ind w:left="6524" w:hanging="180"/>
      </w:pPr>
    </w:lvl>
  </w:abstractNum>
  <w:abstractNum w:abstractNumId="8" w15:restartNumberingAfterBreak="0">
    <w:nsid w:val="449E2273"/>
    <w:multiLevelType w:val="hybridMultilevel"/>
    <w:tmpl w:val="AA52AFFA"/>
    <w:lvl w:ilvl="0" w:tplc="0425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44D611B"/>
    <w:multiLevelType w:val="hybridMultilevel"/>
    <w:tmpl w:val="DAE651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BF041F0"/>
    <w:multiLevelType w:val="hybridMultilevel"/>
    <w:tmpl w:val="8C66B48E"/>
    <w:lvl w:ilvl="0" w:tplc="8684F752">
      <w:start w:val="4"/>
      <w:numFmt w:val="bullet"/>
      <w:lvlText w:val="-"/>
      <w:lvlJc w:val="left"/>
      <w:pPr>
        <w:ind w:left="420" w:hanging="360"/>
      </w:pPr>
      <w:rPr>
        <w:rFonts w:ascii="Times New Roman" w:eastAsia="Calibri" w:hAnsi="Times New Roman" w:cs="Times New Roman" w:hint="default"/>
      </w:rPr>
    </w:lvl>
    <w:lvl w:ilvl="1" w:tplc="04250003">
      <w:start w:val="1"/>
      <w:numFmt w:val="bullet"/>
      <w:lvlText w:val="o"/>
      <w:lvlJc w:val="left"/>
      <w:pPr>
        <w:ind w:left="1140" w:hanging="360"/>
      </w:pPr>
      <w:rPr>
        <w:rFonts w:ascii="Courier New" w:hAnsi="Courier New" w:cs="Courier New" w:hint="default"/>
      </w:rPr>
    </w:lvl>
    <w:lvl w:ilvl="2" w:tplc="04250005">
      <w:start w:val="1"/>
      <w:numFmt w:val="bullet"/>
      <w:lvlText w:val=""/>
      <w:lvlJc w:val="left"/>
      <w:pPr>
        <w:ind w:left="1860" w:hanging="360"/>
      </w:pPr>
      <w:rPr>
        <w:rFonts w:ascii="Wingdings" w:hAnsi="Wingdings" w:hint="default"/>
      </w:rPr>
    </w:lvl>
    <w:lvl w:ilvl="3" w:tplc="04250001">
      <w:start w:val="1"/>
      <w:numFmt w:val="bullet"/>
      <w:lvlText w:val=""/>
      <w:lvlJc w:val="left"/>
      <w:pPr>
        <w:ind w:left="2580" w:hanging="360"/>
      </w:pPr>
      <w:rPr>
        <w:rFonts w:ascii="Symbol" w:hAnsi="Symbol" w:hint="default"/>
      </w:rPr>
    </w:lvl>
    <w:lvl w:ilvl="4" w:tplc="04250003">
      <w:start w:val="1"/>
      <w:numFmt w:val="bullet"/>
      <w:lvlText w:val="o"/>
      <w:lvlJc w:val="left"/>
      <w:pPr>
        <w:ind w:left="3300" w:hanging="360"/>
      </w:pPr>
      <w:rPr>
        <w:rFonts w:ascii="Courier New" w:hAnsi="Courier New" w:cs="Courier New" w:hint="default"/>
      </w:rPr>
    </w:lvl>
    <w:lvl w:ilvl="5" w:tplc="04250005">
      <w:start w:val="1"/>
      <w:numFmt w:val="bullet"/>
      <w:lvlText w:val=""/>
      <w:lvlJc w:val="left"/>
      <w:pPr>
        <w:ind w:left="4020" w:hanging="360"/>
      </w:pPr>
      <w:rPr>
        <w:rFonts w:ascii="Wingdings" w:hAnsi="Wingdings" w:hint="default"/>
      </w:rPr>
    </w:lvl>
    <w:lvl w:ilvl="6" w:tplc="04250001">
      <w:start w:val="1"/>
      <w:numFmt w:val="bullet"/>
      <w:lvlText w:val=""/>
      <w:lvlJc w:val="left"/>
      <w:pPr>
        <w:ind w:left="4740" w:hanging="360"/>
      </w:pPr>
      <w:rPr>
        <w:rFonts w:ascii="Symbol" w:hAnsi="Symbol" w:hint="default"/>
      </w:rPr>
    </w:lvl>
    <w:lvl w:ilvl="7" w:tplc="04250003">
      <w:start w:val="1"/>
      <w:numFmt w:val="bullet"/>
      <w:lvlText w:val="o"/>
      <w:lvlJc w:val="left"/>
      <w:pPr>
        <w:ind w:left="5460" w:hanging="360"/>
      </w:pPr>
      <w:rPr>
        <w:rFonts w:ascii="Courier New" w:hAnsi="Courier New" w:cs="Courier New" w:hint="default"/>
      </w:rPr>
    </w:lvl>
    <w:lvl w:ilvl="8" w:tplc="04250005">
      <w:start w:val="1"/>
      <w:numFmt w:val="bullet"/>
      <w:lvlText w:val=""/>
      <w:lvlJc w:val="left"/>
      <w:pPr>
        <w:ind w:left="6180" w:hanging="360"/>
      </w:pPr>
      <w:rPr>
        <w:rFonts w:ascii="Wingdings" w:hAnsi="Wingdings" w:hint="default"/>
      </w:rPr>
    </w:lvl>
  </w:abstractNum>
  <w:abstractNum w:abstractNumId="11" w15:restartNumberingAfterBreak="0">
    <w:nsid w:val="665E662B"/>
    <w:multiLevelType w:val="hybridMultilevel"/>
    <w:tmpl w:val="BDFAACF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1F642F4"/>
    <w:multiLevelType w:val="hybridMultilevel"/>
    <w:tmpl w:val="024ECA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8E23C31"/>
    <w:multiLevelType w:val="hybridMultilevel"/>
    <w:tmpl w:val="188613E8"/>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32043371">
    <w:abstractNumId w:val="6"/>
  </w:num>
  <w:num w:numId="2" w16cid:durableId="971400160">
    <w:abstractNumId w:val="0"/>
  </w:num>
  <w:num w:numId="3" w16cid:durableId="80956021">
    <w:abstractNumId w:val="12"/>
  </w:num>
  <w:num w:numId="4" w16cid:durableId="2122647571">
    <w:abstractNumId w:val="2"/>
  </w:num>
  <w:num w:numId="5" w16cid:durableId="1752582062">
    <w:abstractNumId w:val="13"/>
  </w:num>
  <w:num w:numId="6" w16cid:durableId="1189830521">
    <w:abstractNumId w:val="5"/>
  </w:num>
  <w:num w:numId="7" w16cid:durableId="1629580331">
    <w:abstractNumId w:val="7"/>
  </w:num>
  <w:num w:numId="8" w16cid:durableId="1286547396">
    <w:abstractNumId w:val="4"/>
  </w:num>
  <w:num w:numId="9" w16cid:durableId="874266961">
    <w:abstractNumId w:val="8"/>
  </w:num>
  <w:num w:numId="10" w16cid:durableId="70466413">
    <w:abstractNumId w:val="9"/>
  </w:num>
  <w:num w:numId="11" w16cid:durableId="195041378">
    <w:abstractNumId w:val="10"/>
  </w:num>
  <w:num w:numId="12" w16cid:durableId="1929731254">
    <w:abstractNumId w:val="1"/>
  </w:num>
  <w:num w:numId="13" w16cid:durableId="140973892">
    <w:abstractNumId w:val="3"/>
  </w:num>
  <w:num w:numId="14" w16cid:durableId="1386249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01"/>
    <w:rsid w:val="0019582F"/>
    <w:rsid w:val="001F6CD8"/>
    <w:rsid w:val="00235948"/>
    <w:rsid w:val="0027016C"/>
    <w:rsid w:val="0030215B"/>
    <w:rsid w:val="00405FB8"/>
    <w:rsid w:val="0041431B"/>
    <w:rsid w:val="0044588A"/>
    <w:rsid w:val="00480601"/>
    <w:rsid w:val="004D77E3"/>
    <w:rsid w:val="0054132E"/>
    <w:rsid w:val="006D57D8"/>
    <w:rsid w:val="008C1CF0"/>
    <w:rsid w:val="008C6FD2"/>
    <w:rsid w:val="00A228CE"/>
    <w:rsid w:val="00BA3503"/>
    <w:rsid w:val="00CC4478"/>
    <w:rsid w:val="00CE024F"/>
    <w:rsid w:val="00D10185"/>
    <w:rsid w:val="00E67F43"/>
    <w:rsid w:val="00F966F9"/>
    <w:rsid w:val="00FA4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8CE5"/>
  <w15:chartTrackingRefBased/>
  <w15:docId w15:val="{EB31F845-D088-401B-B50D-368AD5D6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01"/>
    <w:rPr>
      <w:kern w:val="0"/>
      <w14:ligatures w14:val="none"/>
    </w:rPr>
  </w:style>
  <w:style w:type="paragraph" w:styleId="Heading1">
    <w:name w:val="heading 1"/>
    <w:basedOn w:val="Normal"/>
    <w:next w:val="Normal"/>
    <w:link w:val="Heading1Char"/>
    <w:qFormat/>
    <w:rsid w:val="00480601"/>
    <w:pPr>
      <w:keepNext/>
      <w:keepLines/>
      <w:spacing w:before="120" w:after="120"/>
      <w:outlineLvl w:val="0"/>
    </w:pPr>
    <w:rPr>
      <w:rFonts w:ascii="Garamond" w:eastAsiaTheme="majorEastAsia" w:hAnsi="Garamond" w:cstheme="majorBidi"/>
      <w:b/>
      <w:color w:val="2F5496" w:themeColor="accent1" w:themeShade="BF"/>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601"/>
    <w:rPr>
      <w:rFonts w:ascii="Garamond" w:eastAsiaTheme="majorEastAsia" w:hAnsi="Garamond" w:cstheme="majorBidi"/>
      <w:b/>
      <w:color w:val="2F5496" w:themeColor="accent1" w:themeShade="BF"/>
      <w:kern w:val="0"/>
      <w:sz w:val="26"/>
      <w:szCs w:val="32"/>
      <w14:ligatures w14:val="none"/>
    </w:rPr>
  </w:style>
  <w:style w:type="table" w:styleId="TableGrid">
    <w:name w:val="Table Grid"/>
    <w:basedOn w:val="TableNormal"/>
    <w:uiPriority w:val="39"/>
    <w:rsid w:val="004806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8060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rsid w:val="00480601"/>
    <w:rPr>
      <w:rFonts w:ascii="Calibri" w:eastAsia="Calibri" w:hAnsi="Calibri" w:cs="Times New Roman"/>
      <w:kern w:val="0"/>
      <w14:ligatures w14:val="none"/>
    </w:rPr>
  </w:style>
  <w:style w:type="paragraph" w:styleId="ListParagraph">
    <w:name w:val="List Paragraph"/>
    <w:basedOn w:val="Normal"/>
    <w:uiPriority w:val="34"/>
    <w:qFormat/>
    <w:rsid w:val="00480601"/>
    <w:pPr>
      <w:ind w:left="720"/>
      <w:contextualSpacing/>
    </w:pPr>
  </w:style>
  <w:style w:type="paragraph" w:styleId="PlainText">
    <w:name w:val="Plain Text"/>
    <w:basedOn w:val="Normal"/>
    <w:link w:val="PlainTextChar"/>
    <w:uiPriority w:val="99"/>
    <w:unhideWhenUsed/>
    <w:rsid w:val="004806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0601"/>
    <w:rPr>
      <w:rFonts w:ascii="Calibri" w:hAnsi="Calibri"/>
      <w:kern w:val="0"/>
      <w:szCs w:val="21"/>
      <w14:ligatures w14:val="none"/>
    </w:rPr>
  </w:style>
  <w:style w:type="character" w:customStyle="1" w:styleId="fontstyle01">
    <w:name w:val="fontstyle01"/>
    <w:basedOn w:val="DefaultParagraphFont"/>
    <w:rsid w:val="00480601"/>
    <w:rPr>
      <w:rFonts w:ascii="Garamond-Bold" w:hAnsi="Garamond-Bold" w:hint="default"/>
      <w:b/>
      <w:bCs/>
      <w:i w:val="0"/>
      <w:iCs w:val="0"/>
      <w:color w:val="000000"/>
      <w:sz w:val="22"/>
      <w:szCs w:val="22"/>
    </w:rPr>
  </w:style>
  <w:style w:type="paragraph" w:styleId="NormalWeb">
    <w:name w:val="Normal (Web)"/>
    <w:basedOn w:val="Normal"/>
    <w:uiPriority w:val="99"/>
    <w:unhideWhenUsed/>
    <w:rsid w:val="00480601"/>
    <w:pPr>
      <w:spacing w:before="100" w:beforeAutospacing="1" w:after="100" w:afterAutospacing="1" w:line="240" w:lineRule="auto"/>
    </w:pPr>
    <w:rPr>
      <w:rFonts w:ascii="Calibri" w:hAnsi="Calibri" w:cs="Calibri"/>
      <w:lang w:eastAsia="et-EE"/>
    </w:rPr>
  </w:style>
  <w:style w:type="paragraph" w:styleId="Header">
    <w:name w:val="header"/>
    <w:basedOn w:val="Normal"/>
    <w:link w:val="HeaderChar"/>
    <w:uiPriority w:val="99"/>
    <w:unhideWhenUsed/>
    <w:rsid w:val="00405F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5FB8"/>
    <w:rPr>
      <w:kern w:val="0"/>
      <w14:ligatures w14:val="none"/>
    </w:rPr>
  </w:style>
  <w:style w:type="paragraph" w:styleId="Footer">
    <w:name w:val="footer"/>
    <w:basedOn w:val="Normal"/>
    <w:link w:val="FooterChar"/>
    <w:uiPriority w:val="99"/>
    <w:unhideWhenUsed/>
    <w:rsid w:val="00405F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5FB8"/>
    <w:rPr>
      <w:kern w:val="0"/>
      <w14:ligatures w14:val="none"/>
    </w:rPr>
  </w:style>
  <w:style w:type="character" w:styleId="Hyperlink">
    <w:name w:val="Hyperlink"/>
    <w:basedOn w:val="DefaultParagraphFont"/>
    <w:uiPriority w:val="99"/>
    <w:unhideWhenUsed/>
    <w:rsid w:val="008C1CF0"/>
    <w:rPr>
      <w:color w:val="0563C1" w:themeColor="hyperlink"/>
      <w:u w:val="single"/>
    </w:rPr>
  </w:style>
  <w:style w:type="character" w:customStyle="1" w:styleId="tyhik">
    <w:name w:val="tyhik"/>
    <w:basedOn w:val="DefaultParagraphFont"/>
    <w:rsid w:val="008C1CF0"/>
  </w:style>
  <w:style w:type="character" w:customStyle="1" w:styleId="normaltextrun">
    <w:name w:val="normaltextrun"/>
    <w:basedOn w:val="DefaultParagraphFont"/>
    <w:rsid w:val="00CE024F"/>
  </w:style>
  <w:style w:type="character" w:customStyle="1" w:styleId="eop">
    <w:name w:val="eop"/>
    <w:basedOn w:val="DefaultParagraphFont"/>
    <w:rsid w:val="00CE024F"/>
  </w:style>
  <w:style w:type="paragraph" w:customStyle="1" w:styleId="paragraph">
    <w:name w:val="paragraph"/>
    <w:basedOn w:val="Normal"/>
    <w:rsid w:val="00CE024F"/>
    <w:pPr>
      <w:spacing w:after="0" w:line="240" w:lineRule="auto"/>
    </w:pPr>
    <w:rPr>
      <w:rFonts w:ascii="Calibri" w:hAnsi="Calibri" w:cs="Calibri"/>
      <w:lang w:eastAsia="et-EE"/>
    </w:rPr>
  </w:style>
  <w:style w:type="character" w:customStyle="1" w:styleId="textrun">
    <w:name w:val="textrun"/>
    <w:basedOn w:val="DefaultParagraphFont"/>
    <w:rsid w:val="00CE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4899</Characters>
  <Application>Microsoft Office Word</Application>
  <DocSecurity>4</DocSecurity>
  <Lines>40</Lines>
  <Paragraphs>11</Paragraphs>
  <ScaleCrop>false</ScaleCrop>
  <Company>Maaeluministeerium</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Kaie Küngas</dc:creator>
  <cp:keywords/>
  <dc:description/>
  <cp:lastModifiedBy>Jaanus Rankla</cp:lastModifiedBy>
  <cp:revision>2</cp:revision>
  <dcterms:created xsi:type="dcterms:W3CDTF">2024-04-11T07:22:00Z</dcterms:created>
  <dcterms:modified xsi:type="dcterms:W3CDTF">2024-04-11T07:22:00Z</dcterms:modified>
</cp:coreProperties>
</file>